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03E" w:rsidRDefault="007100E1">
      <w:r>
        <w:t>CADUCIDADE DE SERVIDÕES RODOVIÁRIAS</w:t>
      </w:r>
    </w:p>
    <w:p w:rsidR="007100E1" w:rsidRDefault="007100E1" w:rsidP="0081370D">
      <w:r>
        <w:t xml:space="preserve">Nos termos no </w:t>
      </w:r>
      <w:hyperlink r:id="rId5" w:history="1">
        <w:r w:rsidRPr="00206DFD">
          <w:rPr>
            <w:rStyle w:val="Hiperligao"/>
          </w:rPr>
          <w:t>n.º 5 do artigo 32.º do Estatuto das Estradas da Rede Rodoviária Nacional</w:t>
        </w:r>
      </w:hyperlink>
      <w:r>
        <w:t xml:space="preserve"> (EERRN), aprovado pela </w:t>
      </w:r>
      <w:hyperlink r:id="rId6" w:history="1">
        <w:r w:rsidRPr="00206DFD">
          <w:rPr>
            <w:rStyle w:val="Hiperligao"/>
          </w:rPr>
          <w:t>Lei n.º 34/2015, de 27 de abril</w:t>
        </w:r>
      </w:hyperlink>
      <w:r>
        <w:t xml:space="preserve">, a zona de servidão </w:t>
      </w:r>
      <w:r w:rsidRPr="00206DFD">
        <w:rPr>
          <w:i/>
          <w:iCs/>
        </w:rPr>
        <w:t xml:space="preserve">non </w:t>
      </w:r>
      <w:proofErr w:type="spellStart"/>
      <w:r w:rsidRPr="00206DFD">
        <w:rPr>
          <w:i/>
          <w:iCs/>
        </w:rPr>
        <w:t>aedificandi</w:t>
      </w:r>
      <w:proofErr w:type="spellEnd"/>
      <w:r>
        <w:t xml:space="preserve"> dos corredores rodoviários caduca decorridos cinco anos após a data da constituição, excecionando-se as situações dos estudos prévios aprovados antes da entrada em vigor do Estatuto, cujo prazo é contado na data da publicação deste</w:t>
      </w:r>
      <w:r w:rsidR="0081370D">
        <w:t>.</w:t>
      </w:r>
    </w:p>
    <w:p w:rsidR="007100E1" w:rsidRDefault="007100E1" w:rsidP="0081370D">
      <w:r>
        <w:t xml:space="preserve">A caducidade das servidões </w:t>
      </w:r>
      <w:r w:rsidRPr="00206DFD">
        <w:rPr>
          <w:i/>
          <w:iCs/>
        </w:rPr>
        <w:t xml:space="preserve">non </w:t>
      </w:r>
      <w:proofErr w:type="spellStart"/>
      <w:r w:rsidRPr="00206DFD">
        <w:rPr>
          <w:i/>
          <w:iCs/>
        </w:rPr>
        <w:t>aedificiandi</w:t>
      </w:r>
      <w:proofErr w:type="spellEnd"/>
      <w:r>
        <w:t xml:space="preserve"> foi publicada em Diário da República pelo Instituto da Mobilidade e </w:t>
      </w:r>
      <w:r w:rsidR="0081370D">
        <w:t xml:space="preserve">dos </w:t>
      </w:r>
      <w:r>
        <w:t xml:space="preserve">Transportes (IMT, I.P.), nos termos do </w:t>
      </w:r>
      <w:hyperlink r:id="rId7" w:history="1">
        <w:r w:rsidRPr="00206DFD">
          <w:rPr>
            <w:rStyle w:val="Hiperligao"/>
          </w:rPr>
          <w:t>n.º 7 do artigo 32.º do EERRN</w:t>
        </w:r>
      </w:hyperlink>
      <w:r>
        <w:t>.</w:t>
      </w:r>
    </w:p>
    <w:p w:rsidR="007100E1" w:rsidRDefault="007100E1" w:rsidP="007100E1">
      <w:pPr>
        <w:pStyle w:val="PargrafodaLista"/>
      </w:pPr>
    </w:p>
    <w:p w:rsidR="007100E1" w:rsidRDefault="007100E1" w:rsidP="007100E1">
      <w:r>
        <w:t xml:space="preserve">O Município de Coimbra, nos termos do n.º 7 do artigo 32.º do EERRN, divulga </w:t>
      </w:r>
      <w:r w:rsidR="00206DFD">
        <w:t xml:space="preserve">abaixo </w:t>
      </w:r>
      <w:r>
        <w:t xml:space="preserve">as declarações de caducidade publicadas no Diário da República pelo </w:t>
      </w:r>
      <w:proofErr w:type="gramStart"/>
      <w:r>
        <w:t>IMT,I.P.</w:t>
      </w:r>
      <w:proofErr w:type="gramEnd"/>
      <w:r>
        <w:t>:</w:t>
      </w:r>
      <w:bookmarkStart w:id="0" w:name="_GoBack"/>
      <w:bookmarkEnd w:id="0"/>
    </w:p>
    <w:p w:rsidR="007100E1" w:rsidRDefault="009531E8" w:rsidP="007100E1">
      <w:r>
        <w:t>IP3 – Coimbra (Trouxemil) / Mealhada e IC2 – Coimbra / Oliveira de Azeméis (A32/IC2)</w:t>
      </w:r>
    </w:p>
    <w:p w:rsidR="009531E8" w:rsidRDefault="00C129BB" w:rsidP="009531E8">
      <w:pPr>
        <w:pStyle w:val="PargrafodaLista"/>
        <w:numPr>
          <w:ilvl w:val="0"/>
          <w:numId w:val="2"/>
        </w:numPr>
      </w:pPr>
      <w:hyperlink r:id="rId8" w:history="1">
        <w:r w:rsidR="009531E8" w:rsidRPr="00C129BB">
          <w:rPr>
            <w:rStyle w:val="Hiperligao"/>
          </w:rPr>
          <w:t>Declaração N.º 98-A/2019, publicada no Diário da República, 2.ª Série, de 26-12-2019</w:t>
        </w:r>
      </w:hyperlink>
    </w:p>
    <w:p w:rsidR="009531E8" w:rsidRDefault="009531E8" w:rsidP="009531E8">
      <w:pPr>
        <w:pStyle w:val="PargrafodaLista"/>
      </w:pPr>
    </w:p>
    <w:p w:rsidR="009531E8" w:rsidRDefault="009531E8" w:rsidP="009531E8">
      <w:r>
        <w:t>IC3 – Tomar / Coimbra, à exceção do troço correspondente entr</w:t>
      </w:r>
      <w:r w:rsidR="0081370D">
        <w:t>e</w:t>
      </w:r>
      <w:r>
        <w:t xml:space="preserve"> o Nó de Ceira e o limite norte do Estudo Prévio correspondente</w:t>
      </w:r>
    </w:p>
    <w:p w:rsidR="009531E8" w:rsidRDefault="00C129BB" w:rsidP="009531E8">
      <w:pPr>
        <w:pStyle w:val="PargrafodaLista"/>
        <w:numPr>
          <w:ilvl w:val="0"/>
          <w:numId w:val="2"/>
        </w:numPr>
      </w:pPr>
      <w:hyperlink r:id="rId9" w:history="1">
        <w:r w:rsidR="009531E8" w:rsidRPr="00C129BB">
          <w:rPr>
            <w:rStyle w:val="Hiperligao"/>
          </w:rPr>
          <w:t>Declaração N.º 31/2020, publicada no Diário da República, 2.ª Série, de 07-04-2020</w:t>
        </w:r>
      </w:hyperlink>
    </w:p>
    <w:sectPr w:rsidR="009531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F7F48"/>
    <w:multiLevelType w:val="hybridMultilevel"/>
    <w:tmpl w:val="D450A2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468AA"/>
    <w:multiLevelType w:val="hybridMultilevel"/>
    <w:tmpl w:val="4FA0FDF8"/>
    <w:lvl w:ilvl="0" w:tplc="CDD27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E1"/>
    <w:rsid w:val="00206DFD"/>
    <w:rsid w:val="003C4527"/>
    <w:rsid w:val="007100E1"/>
    <w:rsid w:val="0081370D"/>
    <w:rsid w:val="00890637"/>
    <w:rsid w:val="008D07D3"/>
    <w:rsid w:val="009531E8"/>
    <w:rsid w:val="00A77D84"/>
    <w:rsid w:val="00B92F6A"/>
    <w:rsid w:val="00C129BB"/>
    <w:rsid w:val="00D0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EEFAA"/>
  <w15:chartTrackingRefBased/>
  <w15:docId w15:val="{5C292598-4769-4222-87D6-582391A0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00E1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206DF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06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e.pt/application/conteudo/1275429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e.pt/web/guest/legislacao-consolidada/-/lc/105630987/202006041600/73355597/diploma/indice?lcq=Lei+n.%C2%BA%2034%2F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.dre.pt/eli/lei/34/2015/p/cons/20161228/pt/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e.pt/web/guest/legislacao-consolidada/-/lc/105630987/202006041600/73355597/diploma/indice?lcq=Lei+n.%C2%BA%2034%2F201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e.pt/application/conteudo/131182966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Duarte</dc:creator>
  <cp:keywords/>
  <dc:description/>
  <cp:lastModifiedBy>Carlos Duarte</cp:lastModifiedBy>
  <cp:revision>4</cp:revision>
  <dcterms:created xsi:type="dcterms:W3CDTF">2020-06-04T14:27:00Z</dcterms:created>
  <dcterms:modified xsi:type="dcterms:W3CDTF">2020-06-04T15:28:00Z</dcterms:modified>
</cp:coreProperties>
</file>